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1EC5" w14:textId="77777777" w:rsidR="009F1D52" w:rsidRPr="009F1D52" w:rsidRDefault="009F1D52" w:rsidP="009F1D52">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9F1D52">
        <w:rPr>
          <w:rFonts w:ascii="Verdana" w:eastAsia="Times New Roman" w:hAnsi="Verdana" w:cs="Times New Roman"/>
          <w:color w:val="CC3300"/>
          <w:kern w:val="36"/>
          <w:sz w:val="36"/>
          <w:szCs w:val="36"/>
          <w:lang w:eastAsia="fr-BE"/>
        </w:rPr>
        <w:t>Réduction des émissions de carbone : le recyclage est la clé</w:t>
      </w:r>
    </w:p>
    <w:p w14:paraId="0D612F05" w14:textId="77777777" w:rsidR="009F1D52" w:rsidRDefault="009F1D52" w:rsidP="009F1D52">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79F932D9" w14:textId="168BD46E"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La prise de conscience des consommateurs concernant les émissions de carbone générées par la production de métaux va doper l’industrie du recyclage et stimuler les recherches de produits de substitution, ce qui pourrait mettre à mal les compagnies minières.</w:t>
      </w:r>
    </w:p>
    <w:p w14:paraId="6820B1F4"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Les analystes de Wood Mackenzie estiment qu’il faudra d’importants volumes supplémentaires de métaux, au cours des 20 prochaines années, pour limiter le réchauffement climatique à 2°C. Il faudrait ainsi, d’après eux, 360 millions de tonnes (Mt) d’aluminium, 90 Mt de cuivre et 30 Mt de nickel supplémentaires pour couvrir les nouveaux besoins, notamment dans le secteur des véhicules électriques, dont les ventes devraient exploser dans les prochaines années. « </w:t>
      </w:r>
      <w:r w:rsidRPr="009F1D52">
        <w:rPr>
          <w:rFonts w:ascii="Verdana" w:eastAsia="Times New Roman" w:hAnsi="Verdana" w:cs="Times New Roman"/>
          <w:i/>
          <w:iCs/>
          <w:color w:val="000000"/>
          <w:sz w:val="23"/>
          <w:szCs w:val="23"/>
          <w:lang w:eastAsia="fr-BE"/>
        </w:rPr>
        <w:t>Nous pouvons réduire notre empreinte carbone grâce au recyclage </w:t>
      </w:r>
      <w:r w:rsidRPr="009F1D52">
        <w:rPr>
          <w:rFonts w:ascii="Verdana" w:eastAsia="Times New Roman" w:hAnsi="Verdana" w:cs="Times New Roman"/>
          <w:color w:val="000000"/>
          <w:sz w:val="23"/>
          <w:szCs w:val="23"/>
          <w:lang w:eastAsia="fr-BE"/>
        </w:rPr>
        <w:t xml:space="preserve">», a souligné Julian </w:t>
      </w:r>
      <w:proofErr w:type="spellStart"/>
      <w:r w:rsidRPr="009F1D52">
        <w:rPr>
          <w:rFonts w:ascii="Verdana" w:eastAsia="Times New Roman" w:hAnsi="Verdana" w:cs="Times New Roman"/>
          <w:color w:val="000000"/>
          <w:sz w:val="23"/>
          <w:szCs w:val="23"/>
          <w:lang w:eastAsia="fr-BE"/>
        </w:rPr>
        <w:t>Kettle</w:t>
      </w:r>
      <w:proofErr w:type="spellEnd"/>
      <w:r w:rsidRPr="009F1D52">
        <w:rPr>
          <w:rFonts w:ascii="Verdana" w:eastAsia="Times New Roman" w:hAnsi="Verdana" w:cs="Times New Roman"/>
          <w:color w:val="000000"/>
          <w:sz w:val="23"/>
          <w:szCs w:val="23"/>
          <w:lang w:eastAsia="fr-BE"/>
        </w:rPr>
        <w:t>, analyste chez Wood Mackenzie. « </w:t>
      </w:r>
      <w:r w:rsidRPr="009F1D52">
        <w:rPr>
          <w:rFonts w:ascii="Verdana" w:eastAsia="Times New Roman" w:hAnsi="Verdana" w:cs="Times New Roman"/>
          <w:i/>
          <w:iCs/>
          <w:color w:val="000000"/>
          <w:sz w:val="23"/>
          <w:szCs w:val="23"/>
          <w:lang w:eastAsia="fr-BE"/>
        </w:rPr>
        <w:t>Il existe pléthore de nouvelles technologies, telles que le stockage d’énergie à base d’hydrogène et de polymères, qui pourraient changer radicalement le paysage de l’énergie propre</w:t>
      </w:r>
      <w:r w:rsidRPr="009F1D52">
        <w:rPr>
          <w:rFonts w:ascii="Verdana" w:eastAsia="Times New Roman" w:hAnsi="Verdana" w:cs="Times New Roman"/>
          <w:color w:val="000000"/>
          <w:sz w:val="23"/>
          <w:szCs w:val="23"/>
          <w:lang w:eastAsia="fr-BE"/>
        </w:rPr>
        <w:t> ».</w:t>
      </w:r>
    </w:p>
    <w:p w14:paraId="4957D90C"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Produire 1 tonne d’aluminium génère environ 17 tonnes de carbone, contre 0.6 tonne pour l’aluminium de seconde fusion.</w:t>
      </w:r>
    </w:p>
    <w:p w14:paraId="4A2E816B"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 xml:space="preserve">L’extraction minière du cuivre émet entre 2.3 et 2.5 tonnes de carbone par tonne de métal, auxquelles s’ajoute 1.65 tonne pour l’affinage, contre 1.5 </w:t>
      </w:r>
      <w:proofErr w:type="gramStart"/>
      <w:r w:rsidRPr="009F1D52">
        <w:rPr>
          <w:rFonts w:ascii="Verdana" w:eastAsia="Times New Roman" w:hAnsi="Verdana" w:cs="Times New Roman"/>
          <w:color w:val="000000"/>
          <w:sz w:val="23"/>
          <w:szCs w:val="23"/>
          <w:lang w:eastAsia="fr-BE"/>
        </w:rPr>
        <w:t>tonne</w:t>
      </w:r>
      <w:proofErr w:type="gramEnd"/>
      <w:r w:rsidRPr="009F1D52">
        <w:rPr>
          <w:rFonts w:ascii="Verdana" w:eastAsia="Times New Roman" w:hAnsi="Verdana" w:cs="Times New Roman"/>
          <w:color w:val="000000"/>
          <w:sz w:val="23"/>
          <w:szCs w:val="23"/>
          <w:lang w:eastAsia="fr-BE"/>
        </w:rPr>
        <w:t xml:space="preserve"> pour le métal recyclé.</w:t>
      </w:r>
    </w:p>
    <w:p w14:paraId="7527BA76"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Cette prise de conscience est semblable à celle qui a eu lieu pour les plastiques, issus des énergies fossiles, il a une dizaine d’années. Les consommateurs essaient depuis lors de recourir au recyclage et à la substitution.</w:t>
      </w:r>
    </w:p>
    <w:p w14:paraId="102943D8"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 </w:t>
      </w:r>
      <w:r w:rsidRPr="009F1D52">
        <w:rPr>
          <w:rFonts w:ascii="Verdana" w:eastAsia="Times New Roman" w:hAnsi="Verdana" w:cs="Times New Roman"/>
          <w:i/>
          <w:iCs/>
          <w:color w:val="000000"/>
          <w:sz w:val="23"/>
          <w:szCs w:val="23"/>
          <w:lang w:eastAsia="fr-BE"/>
        </w:rPr>
        <w:t>L’ère dans laquelle nous vivons, marquée par une prise de conscience de notre consommation, pourrait promettre des lendemains difficiles aux acteurs qui tablent sur une demande illimitée pour les métaux de base </w:t>
      </w:r>
      <w:r w:rsidRPr="009F1D52">
        <w:rPr>
          <w:rFonts w:ascii="Verdana" w:eastAsia="Times New Roman" w:hAnsi="Verdana" w:cs="Times New Roman"/>
          <w:color w:val="000000"/>
          <w:sz w:val="23"/>
          <w:szCs w:val="23"/>
          <w:lang w:eastAsia="fr-BE"/>
        </w:rPr>
        <w:t>», a averti Simon Morris, de chez Mackenzie.</w:t>
      </w:r>
    </w:p>
    <w:p w14:paraId="1A1C7C6E"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 xml:space="preserve">Le </w:t>
      </w:r>
      <w:proofErr w:type="gramStart"/>
      <w:r w:rsidRPr="009F1D52">
        <w:rPr>
          <w:rFonts w:ascii="Verdana" w:eastAsia="Times New Roman" w:hAnsi="Verdana" w:cs="Times New Roman"/>
          <w:color w:val="000000"/>
          <w:sz w:val="23"/>
          <w:szCs w:val="23"/>
          <w:lang w:eastAsia="fr-BE"/>
        </w:rPr>
        <w:t>challenge</w:t>
      </w:r>
      <w:proofErr w:type="gramEnd"/>
      <w:r w:rsidRPr="009F1D52">
        <w:rPr>
          <w:rFonts w:ascii="Verdana" w:eastAsia="Times New Roman" w:hAnsi="Verdana" w:cs="Times New Roman"/>
          <w:color w:val="000000"/>
          <w:sz w:val="23"/>
          <w:szCs w:val="23"/>
          <w:lang w:eastAsia="fr-BE"/>
        </w:rPr>
        <w:t xml:space="preserve"> se pose particulièrement pour les constructeurs automobiles, qui doivent composer avec des prix de véhicules qui ne sont pas extensibles et trouver des métaux critiques à des prix abordables. « </w:t>
      </w:r>
      <w:r w:rsidRPr="009F1D52">
        <w:rPr>
          <w:rFonts w:ascii="Verdana" w:eastAsia="Times New Roman" w:hAnsi="Verdana" w:cs="Times New Roman"/>
          <w:i/>
          <w:iCs/>
          <w:color w:val="000000"/>
          <w:sz w:val="23"/>
          <w:szCs w:val="23"/>
          <w:lang w:eastAsia="fr-BE"/>
        </w:rPr>
        <w:t>Il chercheront à innover ou à réduire les coûts au maximum</w:t>
      </w:r>
      <w:r w:rsidRPr="009F1D52">
        <w:rPr>
          <w:rFonts w:ascii="Verdana" w:eastAsia="Times New Roman" w:hAnsi="Verdana" w:cs="Times New Roman"/>
          <w:color w:val="000000"/>
          <w:sz w:val="23"/>
          <w:szCs w:val="23"/>
          <w:lang w:eastAsia="fr-BE"/>
        </w:rPr>
        <w:t> », précise Simon Morris.</w:t>
      </w:r>
    </w:p>
    <w:p w14:paraId="51DE3BF6"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Les exemples de compagnies minières qui possèdent également des opérations de recyclage sont peu nombreux. Parmi elles, Norsk Hydro, pour qui ce segment a contribué à hauteur de 1.4 milliard de couronnes norvégiennes à son EBITBA l’année dernière.</w:t>
      </w:r>
    </w:p>
    <w:p w14:paraId="55AF2874" w14:textId="77777777" w:rsidR="009F1D52" w:rsidRPr="009F1D52" w:rsidRDefault="009F1D52" w:rsidP="009F1D52">
      <w:pPr>
        <w:shd w:val="clear" w:color="auto" w:fill="FFFFFF"/>
        <w:spacing w:before="75" w:after="75" w:line="240" w:lineRule="auto"/>
        <w:jc w:val="both"/>
        <w:rPr>
          <w:rFonts w:ascii="Verdana" w:eastAsia="Times New Roman" w:hAnsi="Verdana" w:cs="Times New Roman"/>
          <w:color w:val="000000"/>
          <w:sz w:val="23"/>
          <w:szCs w:val="23"/>
          <w:lang w:eastAsia="fr-BE"/>
        </w:rPr>
      </w:pPr>
      <w:r w:rsidRPr="009F1D52">
        <w:rPr>
          <w:rFonts w:ascii="Verdana" w:eastAsia="Times New Roman" w:hAnsi="Verdana" w:cs="Times New Roman"/>
          <w:color w:val="000000"/>
          <w:sz w:val="23"/>
          <w:szCs w:val="23"/>
          <w:lang w:eastAsia="fr-BE"/>
        </w:rPr>
        <w:t> </w:t>
      </w:r>
    </w:p>
    <w:p w14:paraId="3BAFCD0C" w14:textId="77777777" w:rsidR="00F06B14" w:rsidRDefault="00F06B14"/>
    <w:sectPr w:rsidR="00F06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52"/>
    <w:rsid w:val="00086BC8"/>
    <w:rsid w:val="00633CB8"/>
    <w:rsid w:val="009F1D52"/>
    <w:rsid w:val="00F06B1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5E3C"/>
  <w15:chartTrackingRefBased/>
  <w15:docId w15:val="{32E5732E-DE5D-4D19-A1DB-B6E6AC93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0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2044</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2021-08-18T09:41:00Z</dcterms:created>
  <dcterms:modified xsi:type="dcterms:W3CDTF">2021-08-18T09:42:00Z</dcterms:modified>
</cp:coreProperties>
</file>